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keepNext w:val="true"/>
        <w:keepLines/>
        <w:spacing w:before="200" w:after="0"/>
        <w:rPr/>
      </w:pPr>
      <w:r>
        <w:rPr/>
        <w:t>Possible t</w:t>
      </w:r>
      <w:bookmarkStart w:id="0" w:name="target-species"/>
      <w:r>
        <w:rPr/>
        <w:t>arget species</w:t>
      </w:r>
      <w:bookmarkEnd w:id="0"/>
    </w:p>
    <w:p>
      <w:pPr>
        <w:pStyle w:val="Heading3"/>
        <w:rPr/>
      </w:pPr>
      <w:bookmarkStart w:id="1" w:name="birds"/>
      <w:r>
        <w:rPr/>
        <w:t>Birds</w:t>
      </w:r>
      <w:bookmarkEnd w:id="1"/>
    </w:p>
    <w:p>
      <w:pPr>
        <w:pStyle w:val="Compact"/>
        <w:numPr>
          <w:ilvl w:val="0"/>
          <w:numId w:val="25"/>
        </w:numPr>
        <w:rPr/>
      </w:pPr>
      <w:r>
        <w:rPr/>
        <w:t xml:space="preserve">Neuntöter </w:t>
      </w:r>
      <w:r>
        <w:rPr>
          <w:i/>
        </w:rPr>
        <w:t>Lanius collurio</w:t>
      </w:r>
    </w:p>
    <w:p>
      <w:pPr>
        <w:pStyle w:val="Compact"/>
        <w:numPr>
          <w:ilvl w:val="0"/>
          <w:numId w:val="2"/>
        </w:numPr>
        <w:rPr/>
      </w:pPr>
      <w:r>
        <w:rPr/>
        <w:t>8% decline 2004-2016</w:t>
      </w:r>
    </w:p>
    <w:p>
      <w:pPr>
        <w:pStyle w:val="Compact"/>
        <w:numPr>
          <w:ilvl w:val="0"/>
          <w:numId w:val="2"/>
        </w:numPr>
        <w:rPr/>
      </w:pPr>
      <w:r>
        <w:rPr/>
        <w:t>insectivorous, migratory</w:t>
      </w:r>
    </w:p>
    <w:p>
      <w:pPr>
        <w:pStyle w:val="Compact"/>
        <w:numPr>
          <w:ilvl w:val="0"/>
          <w:numId w:val="2"/>
        </w:numPr>
        <w:rPr/>
      </w:pPr>
      <w:r>
        <w:rPr/>
        <w:t>open areas with grassland, hedges, forest edges</w:t>
      </w:r>
    </w:p>
    <w:p>
      <w:pPr>
        <w:pStyle w:val="Compact"/>
        <w:numPr>
          <w:ilvl w:val="0"/>
          <w:numId w:val="2"/>
        </w:numPr>
        <w:rPr/>
      </w:pPr>
      <w:r>
        <w:rPr/>
        <w:t>national indicator species</w:t>
      </w:r>
    </w:p>
    <w:p>
      <w:pPr>
        <w:pStyle w:val="Compact"/>
        <w:numPr>
          <w:ilvl w:val="0"/>
          <w:numId w:val="26"/>
        </w:numPr>
        <w:rPr/>
      </w:pPr>
      <w:r>
        <w:rPr/>
        <w:t xml:space="preserve">Goldammer </w:t>
      </w:r>
      <w:r>
        <w:rPr>
          <w:i/>
        </w:rPr>
        <w:t>Emberiza citrinella</w:t>
      </w:r>
    </w:p>
    <w:p>
      <w:pPr>
        <w:pStyle w:val="Compact"/>
        <w:numPr>
          <w:ilvl w:val="1"/>
          <w:numId w:val="27"/>
        </w:numPr>
        <w:rPr/>
      </w:pPr>
      <w:r>
        <w:rPr/>
        <w:t>very common, but declining</w:t>
      </w:r>
    </w:p>
    <w:p>
      <w:pPr>
        <w:pStyle w:val="Compact"/>
        <w:numPr>
          <w:ilvl w:val="1"/>
          <w:numId w:val="28"/>
        </w:numPr>
        <w:rPr/>
      </w:pPr>
      <w:r>
        <w:rPr/>
        <w:t>pretty bird, easy to spot</w:t>
      </w:r>
    </w:p>
    <w:p>
      <w:pPr>
        <w:pStyle w:val="Compact"/>
        <w:numPr>
          <w:ilvl w:val="1"/>
          <w:numId w:val="29"/>
        </w:numPr>
        <w:rPr/>
      </w:pPr>
      <w:r>
        <w:rPr/>
        <w:t>14% decline 2004-2016</w:t>
      </w:r>
    </w:p>
    <w:p>
      <w:pPr>
        <w:pStyle w:val="Compact"/>
        <w:numPr>
          <w:ilvl w:val="1"/>
          <w:numId w:val="30"/>
        </w:numPr>
        <w:rPr/>
      </w:pPr>
      <w:r>
        <w:rPr/>
        <w:t>open areas, hedges, forest edges</w:t>
      </w:r>
    </w:p>
    <w:p>
      <w:pPr>
        <w:pStyle w:val="Compact"/>
        <w:numPr>
          <w:ilvl w:val="1"/>
          <w:numId w:val="31"/>
        </w:numPr>
        <w:rPr/>
      </w:pPr>
      <w:r>
        <w:rPr/>
        <w:t>national indicator species</w:t>
      </w:r>
    </w:p>
    <w:p>
      <w:pPr>
        <w:pStyle w:val="Compact"/>
        <w:numPr>
          <w:ilvl w:val="1"/>
          <w:numId w:val="32"/>
        </w:numPr>
        <w:rPr/>
      </w:pPr>
      <w:r>
        <w:rPr/>
        <w:t>i</w:t>
      </w:r>
      <w:r>
        <w:rPr/>
        <w:t>nsectivorous juveniles, seed-eating adults</w:t>
      </w:r>
    </w:p>
    <w:p>
      <w:pPr>
        <w:pStyle w:val="Normal"/>
        <w:numPr>
          <w:ilvl w:val="1"/>
          <w:numId w:val="33"/>
        </w:numPr>
        <w:rPr/>
      </w:pPr>
      <w:r>
        <w:rPr/>
        <w:t>non-migratory, ground-nesting</w:t>
      </w:r>
    </w:p>
    <w:p>
      <w:pPr>
        <w:pStyle w:val="Compact"/>
        <w:numPr>
          <w:ilvl w:val="0"/>
          <w:numId w:val="34"/>
        </w:numPr>
        <w:rPr/>
      </w:pPr>
      <w:r>
        <w:rPr/>
        <w:t xml:space="preserve">Feldlerche </w:t>
      </w:r>
      <w:r>
        <w:rPr>
          <w:i/>
        </w:rPr>
        <w:t>Alauda arvensis</w:t>
      </w:r>
    </w:p>
    <w:p>
      <w:pPr>
        <w:pStyle w:val="Compact"/>
        <w:numPr>
          <w:ilvl w:val="1"/>
          <w:numId w:val="35"/>
        </w:numPr>
        <w:rPr/>
      </w:pPr>
      <w:r>
        <w:rPr/>
        <w:t>still common, but conservation concern</w:t>
      </w:r>
    </w:p>
    <w:p>
      <w:pPr>
        <w:pStyle w:val="Compact"/>
        <w:numPr>
          <w:ilvl w:val="1"/>
          <w:numId w:val="36"/>
        </w:numPr>
        <w:rPr/>
      </w:pPr>
      <w:r>
        <w:rPr/>
        <w:t>11% decline 2004-2016</w:t>
      </w:r>
    </w:p>
    <w:p>
      <w:pPr>
        <w:pStyle w:val="Compact"/>
        <w:numPr>
          <w:ilvl w:val="1"/>
          <w:numId w:val="37"/>
        </w:numPr>
        <w:rPr/>
      </w:pPr>
      <w:r>
        <w:rPr/>
        <w:t>well-known flagship species</w:t>
      </w:r>
    </w:p>
    <w:p>
      <w:pPr>
        <w:pStyle w:val="Compact"/>
        <w:numPr>
          <w:ilvl w:val="1"/>
          <w:numId w:val="38"/>
        </w:numPr>
        <w:rPr/>
      </w:pPr>
      <w:r>
        <w:rPr/>
        <w:t>but also frequently modelled</w:t>
      </w:r>
    </w:p>
    <w:p>
      <w:pPr>
        <w:pStyle w:val="Compact"/>
        <w:numPr>
          <w:ilvl w:val="1"/>
          <w:numId w:val="39"/>
        </w:numPr>
        <w:rPr/>
      </w:pPr>
      <w:r>
        <w:rPr/>
        <w:t>ground-nesting</w:t>
      </w:r>
    </w:p>
    <w:p>
      <w:pPr>
        <w:pStyle w:val="Compact"/>
        <w:numPr>
          <w:ilvl w:val="0"/>
          <w:numId w:val="40"/>
        </w:numPr>
        <w:rPr/>
      </w:pPr>
      <w:r>
        <w:rPr/>
        <w:t xml:space="preserve">Braunkehlchen </w:t>
      </w:r>
      <w:r>
        <w:rPr>
          <w:i/>
        </w:rPr>
        <w:t>Saxicola rubetra</w:t>
      </w:r>
    </w:p>
    <w:p>
      <w:pPr>
        <w:pStyle w:val="Compact"/>
        <w:numPr>
          <w:ilvl w:val="1"/>
          <w:numId w:val="41"/>
        </w:numPr>
        <w:rPr/>
      </w:pPr>
      <w:r>
        <w:rPr/>
        <w:t>41% decline 2004-2016</w:t>
      </w:r>
    </w:p>
    <w:p>
      <w:pPr>
        <w:pStyle w:val="Compact"/>
        <w:numPr>
          <w:ilvl w:val="1"/>
          <w:numId w:val="42"/>
        </w:numPr>
        <w:rPr/>
      </w:pPr>
      <w:r>
        <w:rPr/>
        <w:t>quite rare &amp; hard to spot</w:t>
      </w:r>
    </w:p>
    <w:p>
      <w:pPr>
        <w:pStyle w:val="Compact"/>
        <w:numPr>
          <w:ilvl w:val="1"/>
          <w:numId w:val="43"/>
        </w:numPr>
        <w:rPr/>
      </w:pPr>
      <w:r>
        <w:rPr/>
        <w:t>meadows, fallows, heathland</w:t>
      </w:r>
    </w:p>
    <w:p>
      <w:pPr>
        <w:pStyle w:val="Compact"/>
        <w:numPr>
          <w:ilvl w:val="1"/>
          <w:numId w:val="44"/>
        </w:numPr>
        <w:rPr/>
      </w:pPr>
      <w:r>
        <w:rPr/>
        <w:t>national indicator species</w:t>
      </w:r>
    </w:p>
    <w:p>
      <w:pPr>
        <w:pStyle w:val="Compact"/>
        <w:numPr>
          <w:ilvl w:val="0"/>
          <w:numId w:val="45"/>
        </w:numPr>
        <w:rPr/>
      </w:pPr>
      <w:r>
        <w:rPr/>
        <w:t xml:space="preserve">Grauammer </w:t>
      </w:r>
      <w:r>
        <w:rPr>
          <w:i/>
        </w:rPr>
        <w:t>Emberiza calandra</w:t>
      </w:r>
    </w:p>
    <w:p>
      <w:pPr>
        <w:pStyle w:val="Compact"/>
        <w:numPr>
          <w:ilvl w:val="1"/>
          <w:numId w:val="46"/>
        </w:numPr>
        <w:rPr/>
      </w:pPr>
      <w:r>
        <w:rPr/>
        <w:t>34% decline 2004-2016</w:t>
      </w:r>
    </w:p>
    <w:p>
      <w:pPr>
        <w:pStyle w:val="Compact"/>
        <w:numPr>
          <w:ilvl w:val="1"/>
          <w:numId w:val="47"/>
        </w:numPr>
        <w:rPr/>
      </w:pPr>
      <w:r>
        <w:rPr/>
        <w:t>open areas with perches, field borders, fallows, meadows</w:t>
      </w:r>
    </w:p>
    <w:p>
      <w:pPr>
        <w:pStyle w:val="Compact"/>
        <w:numPr>
          <w:ilvl w:val="1"/>
          <w:numId w:val="48"/>
        </w:numPr>
        <w:rPr/>
      </w:pPr>
      <w:r>
        <w:rPr/>
        <w:t>insectivorous juveniles, seed-eating adults</w:t>
      </w:r>
    </w:p>
    <w:p>
      <w:pPr>
        <w:pStyle w:val="Compact"/>
        <w:numPr>
          <w:ilvl w:val="1"/>
          <w:numId w:val="49"/>
        </w:numPr>
        <w:rPr/>
      </w:pPr>
      <w:r>
        <w:rPr/>
        <w:t>partly migratory</w:t>
      </w:r>
    </w:p>
    <w:p>
      <w:pPr>
        <w:pStyle w:val="FirstParagraph"/>
        <w:rPr/>
      </w:pPr>
      <w:r>
        <w:rPr/>
        <w:t xml:space="preserve">Decline numbers from Deutsche Ornithologen-Gesellschaft, Fachgruppe Agrarvögel (2019): DO-G Positionspapier: Weiterentwicklung der Gemeinsamen Agrarpolitik ab 2021. Vogelwarte, 57(4), 345–357. </w:t>
      </w:r>
      <w:hyperlink r:id="rId2">
        <w:r>
          <w:rPr>
            <w:rStyle w:val="InternetLink"/>
          </w:rPr>
          <w:t>http://www.do-g.de/fileadmin/DO-G_Positionspapier_Agrarvoegel_21.10.2019_n.pdf</w:t>
        </w:r>
      </w:hyperlink>
      <w:hyperlink r:id="rId3">
        <w:r>
          <w:rPr/>
          <w:t xml:space="preserve"> </w:t>
        </w:r>
      </w:hyperlink>
    </w:p>
    <w:p>
      <w:pPr>
        <w:pStyle w:val="TextBody"/>
        <w:rPr/>
      </w:pPr>
      <w:r>
        <w:rPr/>
        <w:t xml:space="preserve">See also Busch et al. (2020): Drivers of population change in common farmland birds in Germany. Bird Conservation International, 30(3), 335–354. </w:t>
      </w:r>
      <w:hyperlink r:id="rId4">
        <w:r>
          <w:rPr>
            <w:rStyle w:val="InternetLink"/>
          </w:rPr>
          <w:t>https://doi.org/10.1017/S0959270919000480</w:t>
        </w:r>
      </w:hyperlink>
      <w:hyperlink r:id="rId5">
        <w:r>
          <w:rPr/>
          <w:t xml:space="preserve"> </w:t>
        </w:r>
      </w:hyperlink>
    </w:p>
    <w:p>
      <w:pPr>
        <w:pStyle w:val="Heading3"/>
        <w:rPr/>
      </w:pPr>
      <w:bookmarkStart w:id="2" w:name="butterflies"/>
      <w:r>
        <w:rPr/>
        <w:t>Butterflies</w:t>
      </w:r>
      <w:bookmarkEnd w:id="2"/>
    </w:p>
    <w:p>
      <w:pPr>
        <w:pStyle w:val="Compact"/>
        <w:numPr>
          <w:ilvl w:val="0"/>
          <w:numId w:val="50"/>
        </w:numPr>
        <w:rPr/>
      </w:pPr>
      <w:r>
        <w:rPr/>
        <w:t xml:space="preserve">Großes Ochsenauge </w:t>
      </w:r>
      <w:r>
        <w:rPr>
          <w:i/>
        </w:rPr>
        <w:t>Maniola jurtina</w:t>
      </w:r>
    </w:p>
    <w:p>
      <w:pPr>
        <w:pStyle w:val="Compact"/>
        <w:numPr>
          <w:ilvl w:val="1"/>
          <w:numId w:val="51"/>
        </w:numPr>
        <w:rPr/>
      </w:pPr>
      <w:r>
        <w:rPr/>
        <w:t>offene Graslandbiotope</w:t>
      </w:r>
    </w:p>
    <w:p>
      <w:pPr>
        <w:pStyle w:val="Compact"/>
        <w:numPr>
          <w:ilvl w:val="1"/>
          <w:numId w:val="52"/>
        </w:numPr>
        <w:rPr/>
      </w:pPr>
      <w:r>
        <w:rPr/>
        <w:t>abhängig von lückigem/kurzem Bewuchs, z.B. durch Mahd/Beweidung</w:t>
      </w:r>
    </w:p>
    <w:p>
      <w:pPr>
        <w:pStyle w:val="Compact"/>
        <w:numPr>
          <w:ilvl w:val="1"/>
          <w:numId w:val="53"/>
        </w:numPr>
        <w:rPr/>
      </w:pPr>
      <w:r>
        <w:rPr/>
        <w:t>verschwindet bei intensiver Düngung/mehr als dreimal jährlicher Mahd</w:t>
      </w:r>
    </w:p>
    <w:p>
      <w:pPr>
        <w:pStyle w:val="Compact"/>
        <w:numPr>
          <w:ilvl w:val="1"/>
          <w:numId w:val="54"/>
        </w:numPr>
        <w:rPr/>
      </w:pPr>
      <w:r>
        <w:rPr/>
        <w:t>nicht gefährdet</w:t>
      </w:r>
    </w:p>
    <w:p>
      <w:pPr>
        <w:pStyle w:val="Compact"/>
        <w:numPr>
          <w:ilvl w:val="0"/>
          <w:numId w:val="55"/>
        </w:numPr>
        <w:rPr/>
      </w:pPr>
      <w:r>
        <w:rPr/>
        <w:t xml:space="preserve">Kleiner Perlmutterfalter </w:t>
      </w:r>
      <w:r>
        <w:rPr>
          <w:i/>
        </w:rPr>
        <w:t>Issoria lathonia</w:t>
      </w:r>
    </w:p>
    <w:p>
      <w:pPr>
        <w:pStyle w:val="Compact"/>
        <w:numPr>
          <w:ilvl w:val="1"/>
          <w:numId w:val="56"/>
        </w:numPr>
        <w:rPr/>
      </w:pPr>
      <w:r>
        <w:rPr/>
        <w:t>Ackerrandstreifen, Stoppeläcker, Magerrasen</w:t>
      </w:r>
    </w:p>
    <w:p>
      <w:pPr>
        <w:pStyle w:val="Compact"/>
        <w:numPr>
          <w:ilvl w:val="1"/>
          <w:numId w:val="57"/>
        </w:numPr>
        <w:rPr/>
      </w:pPr>
      <w:r>
        <w:rPr/>
        <w:t>Männchen mit Revierverhalten</w:t>
      </w:r>
    </w:p>
    <w:p>
      <w:pPr>
        <w:pStyle w:val="Compact"/>
        <w:numPr>
          <w:ilvl w:val="1"/>
          <w:numId w:val="58"/>
        </w:numPr>
        <w:rPr/>
      </w:pPr>
      <w:r>
        <w:rPr/>
        <w:t>April bis November</w:t>
      </w:r>
    </w:p>
    <w:p>
      <w:pPr>
        <w:pStyle w:val="Normal"/>
        <w:numPr>
          <w:ilvl w:val="1"/>
          <w:numId w:val="59"/>
        </w:numPr>
        <w:rPr/>
      </w:pPr>
      <w:r>
        <w:rPr/>
        <w:t>nicht gefährdet</w:t>
      </w:r>
    </w:p>
    <w:p>
      <w:pPr>
        <w:pStyle w:val="Compact"/>
        <w:numPr>
          <w:ilvl w:val="0"/>
          <w:numId w:val="60"/>
        </w:numPr>
        <w:rPr/>
      </w:pPr>
      <w:r>
        <w:rPr/>
        <w:t xml:space="preserve">Admiral </w:t>
      </w:r>
      <w:r>
        <w:rPr>
          <w:i/>
        </w:rPr>
        <w:t>Vanessa atalanta</w:t>
      </w:r>
    </w:p>
    <w:p>
      <w:pPr>
        <w:pStyle w:val="Compact"/>
        <w:numPr>
          <w:ilvl w:val="1"/>
          <w:numId w:val="61"/>
        </w:numPr>
        <w:rPr/>
      </w:pPr>
      <w:r>
        <w:rPr/>
        <w:t>euryök, Offenlandbiotope</w:t>
      </w:r>
    </w:p>
    <w:p>
      <w:pPr>
        <w:pStyle w:val="Compact"/>
        <w:numPr>
          <w:ilvl w:val="1"/>
          <w:numId w:val="62"/>
        </w:numPr>
        <w:rPr/>
      </w:pPr>
      <w:r>
        <w:rPr/>
        <w:t>nicht gefährdet</w:t>
      </w:r>
    </w:p>
    <w:p>
      <w:pPr>
        <w:pStyle w:val="Compact"/>
        <w:numPr>
          <w:ilvl w:val="0"/>
          <w:numId w:val="63"/>
        </w:numPr>
        <w:rPr/>
      </w:pPr>
      <w:r>
        <w:rPr/>
        <w:t xml:space="preserve">Distelfalter </w:t>
      </w:r>
      <w:r>
        <w:rPr>
          <w:i/>
        </w:rPr>
        <w:t>Vanessa carduis</w:t>
      </w:r>
    </w:p>
    <w:p>
      <w:pPr>
        <w:pStyle w:val="Compact"/>
        <w:numPr>
          <w:ilvl w:val="1"/>
          <w:numId w:val="64"/>
        </w:numPr>
        <w:rPr/>
      </w:pPr>
      <w:r>
        <w:rPr/>
        <w:t>Offenlandart, v.a. Ruderalflächen, aber auch Stoppeläcker/Wiesen</w:t>
      </w:r>
    </w:p>
    <w:p>
      <w:pPr>
        <w:pStyle w:val="Compact"/>
        <w:numPr>
          <w:ilvl w:val="1"/>
          <w:numId w:val="65"/>
        </w:numPr>
        <w:rPr/>
      </w:pPr>
      <w:r>
        <w:rPr/>
        <w:t>nicht gefährdet</w:t>
      </w:r>
    </w:p>
    <w:p>
      <w:pPr>
        <w:pStyle w:val="Compact"/>
        <w:numPr>
          <w:ilvl w:val="1"/>
          <w:numId w:val="66"/>
        </w:numPr>
        <w:rPr/>
      </w:pPr>
      <w:r>
        <w:rPr/>
        <w:t>Wanderfalter</w:t>
      </w:r>
    </w:p>
    <w:p>
      <w:pPr>
        <w:pStyle w:val="Compact"/>
        <w:numPr>
          <w:ilvl w:val="0"/>
          <w:numId w:val="67"/>
        </w:numPr>
        <w:rPr/>
      </w:pPr>
      <w:r>
        <w:rPr/>
        <w:t xml:space="preserve">Tagpfauenauge </w:t>
      </w:r>
      <w:r>
        <w:rPr>
          <w:i/>
        </w:rPr>
        <w:t>Aglais io</w:t>
      </w:r>
    </w:p>
    <w:p>
      <w:pPr>
        <w:pStyle w:val="Compact"/>
        <w:numPr>
          <w:ilvl w:val="1"/>
          <w:numId w:val="68"/>
        </w:numPr>
        <w:rPr/>
      </w:pPr>
      <w:r>
        <w:rPr/>
        <w:t>euryöke Offenlandart</w:t>
      </w:r>
    </w:p>
    <w:p>
      <w:pPr>
        <w:pStyle w:val="Compact"/>
        <w:numPr>
          <w:ilvl w:val="1"/>
          <w:numId w:val="69"/>
        </w:numPr>
        <w:rPr/>
      </w:pPr>
      <w:r>
        <w:rPr/>
        <w:t>nicht gefährdet</w:t>
      </w:r>
    </w:p>
    <w:p>
      <w:pPr>
        <w:pStyle w:val="Compact"/>
        <w:numPr>
          <w:ilvl w:val="0"/>
          <w:numId w:val="70"/>
        </w:numPr>
        <w:rPr/>
      </w:pPr>
      <w:r>
        <w:rPr/>
        <w:t xml:space="preserve">Kleiner Fuchs </w:t>
      </w:r>
      <w:r>
        <w:rPr>
          <w:i/>
        </w:rPr>
        <w:t>Aglais urticae</w:t>
      </w:r>
    </w:p>
    <w:p>
      <w:pPr>
        <w:pStyle w:val="Compact"/>
        <w:numPr>
          <w:ilvl w:val="1"/>
          <w:numId w:val="71"/>
        </w:numPr>
        <w:rPr/>
      </w:pPr>
      <w:r>
        <w:rPr/>
        <w:t>euryöke Offenlandart</w:t>
      </w:r>
    </w:p>
    <w:p>
      <w:pPr>
        <w:pStyle w:val="Compact"/>
        <w:numPr>
          <w:ilvl w:val="1"/>
          <w:numId w:val="72"/>
        </w:numPr>
        <w:rPr/>
      </w:pPr>
      <w:r>
        <w:rPr/>
        <w:t>häufig, nicht gefährdet</w:t>
      </w:r>
    </w:p>
    <w:p>
      <w:pPr>
        <w:pStyle w:val="Compact"/>
        <w:numPr>
          <w:ilvl w:val="0"/>
          <w:numId w:val="73"/>
        </w:numPr>
        <w:rPr/>
      </w:pPr>
      <w:r>
        <w:rPr/>
        <w:t xml:space="preserve">Kleines Wiesenvögelchen </w:t>
      </w:r>
      <w:r>
        <w:rPr>
          <w:i/>
        </w:rPr>
        <w:t>Coenonympha pamphilus</w:t>
      </w:r>
    </w:p>
    <w:p>
      <w:pPr>
        <w:pStyle w:val="Compact"/>
        <w:numPr>
          <w:ilvl w:val="1"/>
          <w:numId w:val="74"/>
        </w:numPr>
        <w:rPr/>
      </w:pPr>
      <w:r>
        <w:rPr/>
        <w:t>offene Graslandbiotope</w:t>
      </w:r>
    </w:p>
    <w:p>
      <w:pPr>
        <w:pStyle w:val="Compact"/>
        <w:numPr>
          <w:ilvl w:val="1"/>
          <w:numId w:val="75"/>
        </w:numPr>
        <w:rPr/>
      </w:pPr>
      <w:r>
        <w:rPr/>
        <w:t>abhängig von lückigem/kurzem Bewuchs, z.B. durch Mahd/Beweidung</w:t>
      </w:r>
    </w:p>
    <w:p>
      <w:pPr>
        <w:pStyle w:val="Compact"/>
        <w:numPr>
          <w:ilvl w:val="1"/>
          <w:numId w:val="76"/>
        </w:numPr>
        <w:rPr/>
      </w:pPr>
      <w:r>
        <w:rPr/>
        <w:t>besonders geschützt, nicht gefährdet</w:t>
      </w:r>
    </w:p>
    <w:p>
      <w:pPr>
        <w:pStyle w:val="FirstParagraph"/>
        <w:rPr/>
      </w:pPr>
      <w:r>
        <w:rPr/>
        <w:t>For modelling butterflies in agricultural landscapes, see: Sybertz, J., Matthies, S., Schaarschmidt, F., Reich, M., &amp; von Haaren, C. (2017). Assessing the value of field margins for butterflies and plants: How to document and enhance biodiversity at the farm scale. Agriculture, Ecosystems &amp; Environment, 249, 165–176. https://doi.org/10.1016/j.agee.2017.08.018</w:t>
      </w:r>
    </w:p>
    <w:p>
      <w:pPr>
        <w:pStyle w:val="Heading3"/>
        <w:rPr/>
      </w:pPr>
      <w:bookmarkStart w:id="3" w:name="mammals"/>
      <w:r>
        <w:rPr/>
        <w:t>Mammals</w:t>
      </w:r>
      <w:bookmarkEnd w:id="3"/>
    </w:p>
    <w:p>
      <w:pPr>
        <w:pStyle w:val="Compact"/>
        <w:numPr>
          <w:ilvl w:val="0"/>
          <w:numId w:val="77"/>
        </w:numPr>
        <w:rPr/>
      </w:pPr>
      <w:r>
        <w:rPr/>
        <w:t xml:space="preserve">Feldhase </w:t>
      </w:r>
      <w:r>
        <w:rPr>
          <w:i/>
        </w:rPr>
        <w:t>Lepus europaeus</w:t>
      </w:r>
    </w:p>
    <w:p>
      <w:pPr>
        <w:pStyle w:val="Compact"/>
        <w:numPr>
          <w:ilvl w:val="1"/>
          <w:numId w:val="78"/>
        </w:numPr>
        <w:rPr/>
      </w:pPr>
      <w:r>
        <w:rPr/>
        <w:t>Äcker und Wiesen</w:t>
      </w:r>
    </w:p>
    <w:p>
      <w:pPr>
        <w:pStyle w:val="Compact"/>
        <w:numPr>
          <w:ilvl w:val="1"/>
          <w:numId w:val="79"/>
        </w:numPr>
        <w:rPr/>
      </w:pPr>
      <w:r>
        <w:rPr/>
        <w:t>bekannte, beliebte Art</w:t>
      </w:r>
    </w:p>
    <w:p>
      <w:pPr>
        <w:pStyle w:val="Compact"/>
        <w:numPr>
          <w:ilvl w:val="1"/>
          <w:numId w:val="80"/>
        </w:numPr>
        <w:rPr/>
      </w:pPr>
      <w:r>
        <w:rPr/>
        <w:t>wird auch in ALMaSS modelliert</w:t>
      </w:r>
    </w:p>
    <w:p>
      <w:pPr>
        <w:pStyle w:val="Compact"/>
        <w:numPr>
          <w:ilvl w:val="1"/>
          <w:numId w:val="81"/>
        </w:numPr>
        <w:rPr/>
      </w:pPr>
      <w:r>
        <w:rPr/>
        <w:t>gefährdet</w:t>
      </w:r>
    </w:p>
    <w:p>
      <w:pPr>
        <w:pStyle w:val="Compact"/>
        <w:numPr>
          <w:ilvl w:val="0"/>
          <w:numId w:val="82"/>
        </w:numPr>
        <w:rPr/>
      </w:pPr>
      <w:r>
        <w:rPr/>
        <w:t xml:space="preserve">Feldhamster </w:t>
      </w:r>
      <w:r>
        <w:rPr>
          <w:i/>
        </w:rPr>
        <w:t>Cricetus cricetus</w:t>
      </w:r>
    </w:p>
    <w:p>
      <w:pPr>
        <w:pStyle w:val="Compact"/>
        <w:numPr>
          <w:ilvl w:val="1"/>
          <w:numId w:val="83"/>
        </w:numPr>
        <w:rPr/>
      </w:pPr>
      <w:r>
        <w:rPr/>
        <w:t>frisst Pflanzen und Wirbellose</w:t>
      </w:r>
    </w:p>
    <w:p>
      <w:pPr>
        <w:pStyle w:val="Compact"/>
        <w:numPr>
          <w:ilvl w:val="1"/>
          <w:numId w:val="84"/>
        </w:numPr>
        <w:rPr/>
      </w:pPr>
      <w:r>
        <w:rPr/>
        <w:t>Ernteschädling, aber stark eingebrochener Bestand</w:t>
      </w:r>
    </w:p>
    <w:p>
      <w:pPr>
        <w:pStyle w:val="Normal"/>
        <w:numPr>
          <w:ilvl w:val="1"/>
          <w:numId w:val="85"/>
        </w:numPr>
        <w:rPr/>
      </w:pPr>
      <w:r>
        <w:rPr/>
        <w:t>geschützte Art</w:t>
      </w:r>
    </w:p>
    <w:p>
      <w:pPr>
        <w:pStyle w:val="Compact"/>
        <w:numPr>
          <w:ilvl w:val="0"/>
          <w:numId w:val="86"/>
        </w:numPr>
        <w:rPr/>
      </w:pPr>
      <w:r>
        <w:rPr/>
        <w:t xml:space="preserve">Reh </w:t>
      </w:r>
      <w:r>
        <w:rPr>
          <w:i/>
        </w:rPr>
        <w:t>Capreolus capreolus</w:t>
      </w:r>
    </w:p>
    <w:p>
      <w:pPr>
        <w:pStyle w:val="Compact"/>
        <w:numPr>
          <w:ilvl w:val="1"/>
          <w:numId w:val="87"/>
        </w:numPr>
        <w:rPr/>
      </w:pPr>
      <w:r>
        <w:rPr/>
        <w:t>kleinstrukturierte Landschaften</w:t>
      </w:r>
    </w:p>
    <w:p>
      <w:pPr>
        <w:pStyle w:val="Compact"/>
        <w:numPr>
          <w:ilvl w:val="1"/>
          <w:numId w:val="88"/>
        </w:numPr>
        <w:rPr/>
      </w:pPr>
      <w:r>
        <w:rPr/>
        <w:t>Nahrungssuche auf Feldern</w:t>
      </w:r>
    </w:p>
    <w:p>
      <w:pPr>
        <w:pStyle w:val="Compact"/>
        <w:numPr>
          <w:ilvl w:val="1"/>
          <w:numId w:val="89"/>
        </w:numPr>
        <w:rPr/>
      </w:pPr>
      <w:r>
        <w:rPr/>
        <w:t>verursacht Ernteschäden</w:t>
      </w:r>
    </w:p>
    <w:p>
      <w:pPr>
        <w:pStyle w:val="Compact"/>
        <w:numPr>
          <w:ilvl w:val="0"/>
          <w:numId w:val="90"/>
        </w:numPr>
        <w:rPr/>
      </w:pPr>
      <w:r>
        <w:rPr/>
        <w:t xml:space="preserve">Dachs </w:t>
      </w:r>
      <w:r>
        <w:rPr>
          <w:i/>
        </w:rPr>
        <w:t>Meles meles</w:t>
      </w:r>
    </w:p>
    <w:p>
      <w:pPr>
        <w:pStyle w:val="Compact"/>
        <w:numPr>
          <w:ilvl w:val="1"/>
          <w:numId w:val="91"/>
        </w:numPr>
        <w:rPr/>
      </w:pPr>
      <w:r>
        <w:rPr/>
        <w:t>hauptsächlich Waldbewohner, aber auch breite Hecken/Feldgehölze</w:t>
      </w:r>
    </w:p>
    <w:p>
      <w:pPr>
        <w:pStyle w:val="Compact"/>
        <w:numPr>
          <w:ilvl w:val="0"/>
          <w:numId w:val="92"/>
        </w:numPr>
        <w:rPr/>
      </w:pPr>
      <w:r>
        <w:rPr/>
        <w:t xml:space="preserve">Feldmaus </w:t>
      </w:r>
      <w:r>
        <w:rPr>
          <w:i/>
        </w:rPr>
        <w:t>Microtus arvalis</w:t>
      </w:r>
    </w:p>
    <w:p>
      <w:pPr>
        <w:pStyle w:val="Compact"/>
        <w:numPr>
          <w:ilvl w:val="1"/>
          <w:numId w:val="93"/>
        </w:numPr>
        <w:rPr/>
      </w:pPr>
      <w:r>
        <w:rPr/>
        <w:t>Äcker, Wiesen, Brachen</w:t>
      </w:r>
    </w:p>
    <w:p>
      <w:pPr>
        <w:pStyle w:val="Compact"/>
        <w:numPr>
          <w:ilvl w:val="1"/>
          <w:numId w:val="94"/>
        </w:numPr>
        <w:rPr/>
      </w:pPr>
      <w:r>
        <w:rPr/>
        <w:t>primär vegetarische Ernährung, z.T. Insekten</w:t>
      </w:r>
    </w:p>
    <w:p>
      <w:pPr>
        <w:pStyle w:val="Compact"/>
        <w:numPr>
          <w:ilvl w:val="1"/>
          <w:numId w:val="95"/>
        </w:numPr>
        <w:rPr/>
      </w:pPr>
      <w:r>
        <w:rPr/>
        <w:t>häufiger Ernteschädling</w:t>
      </w:r>
    </w:p>
    <w:p>
      <w:pPr>
        <w:pStyle w:val="Compact"/>
        <w:numPr>
          <w:ilvl w:val="1"/>
          <w:numId w:val="96"/>
        </w:numPr>
        <w:spacing w:before="36" w:after="36"/>
        <w:rPr/>
      </w:pPr>
      <w:r>
        <w:rPr/>
        <w:t>starke Populationszyklen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/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  <w:rPr/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  <w:rPr/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  <w:rPr/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  <w:rPr/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  <w:rPr/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  <w:rPr/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  <w:rPr/>
    </w:lvl>
  </w:abstractNum>
  <w:abstractNum w:abstractNumId="2">
    <w:lvl w:ilvl="0">
      <w:numFmt w:val="bullet"/>
      <w:lvlText w:val="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1">
      <w:start w:val="0"/>
      <w:numFmt w:val="bullet"/>
      <w:lvlText w:val="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3">
      <w:start w:val="0"/>
      <w:numFmt w:val="bullet"/>
      <w:lvlText w:val="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5">
      <w:start w:val="0"/>
      <w:numFmt w:val="bullet"/>
      <w:lvlText w:val="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7">
      <w:start w:val="0"/>
      <w:numFmt w:val="bullet"/>
      <w:lvlText w:val="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6480"/>
        </w:tabs>
        <w:ind w:left="6960" w:hanging="480"/>
      </w:pPr>
      <w:rPr>
        <w:rFonts w:ascii="Symbol" w:hAnsi="Symbol" w:cs="Symbol" w:hint="default"/>
      </w:rPr>
    </w:lvl>
  </w:abstractNum>
  <w:abstractNum w:abstractNumId="3"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  <w:rPr/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  <w:rPr/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  <w:rPr/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  <w:rPr/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  <w:rPr/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  <w:rPr/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  <w:rPr/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  <w:rPr/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  <w:rPr/>
    </w:lvl>
  </w:abstractNum>
  <w:abstractNum w:abstractNumId="4">
    <w:lvl w:ilvl="0"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ymbol" w:hint="default"/>
      </w:rPr>
    </w:lvl>
    <w:lvl w:ilvl="1">
      <w:start w:val="0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0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0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0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5">
    <w:lvl w:ilvl="0"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ymbol" w:hint="default"/>
      </w:rPr>
    </w:lvl>
    <w:lvl w:ilvl="1">
      <w:start w:val="0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0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0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0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6">
    <w:lvl w:ilvl="0"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ymbol" w:hint="default"/>
      </w:rPr>
    </w:lvl>
    <w:lvl w:ilvl="1">
      <w:start w:val="0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0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0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0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7">
    <w:lvl w:ilvl="0"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ymbol" w:hint="default"/>
      </w:rPr>
    </w:lvl>
    <w:lvl w:ilvl="1">
      <w:start w:val="0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0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0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0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/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  <w:rPr/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  <w:rPr/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  <w:rPr/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  <w:rPr/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  <w:rPr/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  <w:rPr/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  <w:rPr/>
    </w:lvl>
  </w:abstractNum>
  <w:abstractNum w:abstractNumId="9">
    <w:lvl w:ilvl="0"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ymbol" w:hint="default"/>
      </w:rPr>
    </w:lvl>
    <w:lvl w:ilvl="1">
      <w:start w:val="0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0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0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0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10"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  <w:rPr/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  <w:rPr/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  <w:rPr/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  <w:rPr/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  <w:rPr/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  <w:rPr/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  <w:rPr/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  <w:rPr/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  <w:rPr/>
    </w:lvl>
  </w:abstractNum>
  <w:abstractNum w:abstractNumId="11">
    <w:lvl w:ilvl="0"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ymbol" w:hint="default"/>
      </w:rPr>
    </w:lvl>
    <w:lvl w:ilvl="1">
      <w:start w:val="0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0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0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0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12">
    <w:lvl w:ilvl="0"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ymbol" w:hint="default"/>
      </w:rPr>
    </w:lvl>
    <w:lvl w:ilvl="1">
      <w:start w:val="0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0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0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0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13">
    <w:lvl w:ilvl="0"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ymbol" w:hint="default"/>
      </w:rPr>
    </w:lvl>
    <w:lvl w:ilvl="1">
      <w:start w:val="0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0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0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0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14">
    <w:lvl w:ilvl="0"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ymbol" w:hint="default"/>
      </w:rPr>
    </w:lvl>
    <w:lvl w:ilvl="1">
      <w:start w:val="0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0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0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0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15">
    <w:lvl w:ilvl="0"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ymbol" w:hint="default"/>
      </w:rPr>
    </w:lvl>
    <w:lvl w:ilvl="1">
      <w:start w:val="0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0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0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0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16">
    <w:lvl w:ilvl="0"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ymbol" w:hint="default"/>
      </w:rPr>
    </w:lvl>
    <w:lvl w:ilvl="1">
      <w:start w:val="0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0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0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0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/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  <w:rPr/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  <w:rPr/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  <w:rPr/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  <w:rPr/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  <w:rPr/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  <w:rPr/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  <w:rPr/>
    </w:lvl>
  </w:abstractNum>
  <w:abstractNum w:abstractNumId="18">
    <w:lvl w:ilvl="0"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ymbol" w:hint="default"/>
      </w:rPr>
    </w:lvl>
    <w:lvl w:ilvl="1">
      <w:start w:val="0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0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0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0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19"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  <w:rPr/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  <w:rPr/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  <w:rPr/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  <w:rPr/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  <w:rPr/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  <w:rPr/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  <w:rPr/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  <w:rPr/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  <w:rPr/>
    </w:lvl>
  </w:abstractNum>
  <w:abstractNum w:abstractNumId="20">
    <w:lvl w:ilvl="0"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ymbol" w:hint="default"/>
      </w:rPr>
    </w:lvl>
    <w:lvl w:ilvl="1">
      <w:start w:val="0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0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0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0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21">
    <w:lvl w:ilvl="0"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ymbol" w:hint="default"/>
      </w:rPr>
    </w:lvl>
    <w:lvl w:ilvl="1">
      <w:start w:val="0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0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0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0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22">
    <w:lvl w:ilvl="0"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ymbol" w:hint="default"/>
      </w:rPr>
    </w:lvl>
    <w:lvl w:ilvl="1">
      <w:start w:val="0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0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0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0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23">
    <w:lvl w:ilvl="0"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ymbol" w:hint="default"/>
      </w:rPr>
    </w:lvl>
    <w:lvl w:ilvl="1">
      <w:start w:val="0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0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0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0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2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1"/>
    <w:lvlOverride w:ilvl="0">
      <w:startOverride w:val="1"/>
    </w:lvlOverride>
  </w:num>
  <w:num w:numId="26">
    <w:abstractNumId w:val="3"/>
    <w:lvlOverride w:ilvl="0">
      <w:startOverride w:val="2"/>
    </w:lvlOverride>
  </w:num>
  <w:num w:numId="27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28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29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30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31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32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33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34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35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36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37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38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39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40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41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42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43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44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45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46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47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48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49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50">
    <w:abstractNumId w:val="1"/>
    <w:lvlOverride w:ilvl="0">
      <w:startOverride w:val="1"/>
    </w:lvlOverride>
  </w:num>
  <w:num w:numId="51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52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53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54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55">
    <w:abstractNumId w:val="3"/>
    <w:lvlOverride w:ilvl="0">
      <w:startOverride w:val="2"/>
    </w:lvlOverride>
  </w:num>
  <w:num w:numId="56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57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58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59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60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61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62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63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64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65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66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67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68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69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70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71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72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73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74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75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76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77">
    <w:abstractNumId w:val="1"/>
    <w:lvlOverride w:ilvl="0">
      <w:startOverride w:val="1"/>
    </w:lvlOverride>
  </w:num>
  <w:num w:numId="78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79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80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81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82">
    <w:abstractNumId w:val="3"/>
    <w:lvlOverride w:ilvl="0">
      <w:startOverride w:val="2"/>
    </w:lvlOverride>
  </w:num>
  <w:num w:numId="83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84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85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86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87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88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89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90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91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92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93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94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95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  <w:num w:numId="96">
    <w:abstractNumId w:val="2"/>
    <w:lvlOverride w:ilvl="0">
      <w:lvl w:ilvl="0">
        <w:numFmt w:val="bullet"/>
        <w:lvlText w:val=""/>
        <w:lvlJc w:val="left"/>
        <w:pPr>
          <w:tabs>
            <w:tab w:val="num" w:pos="0"/>
          </w:tabs>
          <w:ind w:left="480" w:hanging="480"/>
        </w:pPr>
        <w:rPr>
          <w:rFonts w:ascii="Symbol" w:hAnsi="Symbol" w:cs="Symbol" w:hint="default"/>
        </w:rPr>
      </w:lvl>
    </w:lvlOverride>
    <w:lvlOverride w:ilvl="1">
      <w:lvl w:ilvl="1">
        <w:start w:val="0"/>
        <w:numFmt w:val="bullet"/>
        <w:lvlText w:val=""/>
        <w:lvlJc w:val="left"/>
        <w:pPr>
          <w:tabs>
            <w:tab w:val="num" w:pos="720"/>
          </w:tabs>
          <w:ind w:left="1200" w:hanging="480"/>
        </w:pPr>
        <w:rPr>
          <w:rFonts w:ascii="Symbol" w:hAnsi="Symbol" w:cs="Symbol" w:hint="default"/>
        </w:rPr>
      </w:lvl>
    </w:lvlOverride>
    <w:lvlOverride w:ilvl="2">
      <w:lvl w:ilvl="2">
        <w:start w:val="0"/>
        <w:numFmt w:val="bullet"/>
        <w:lvlText w:val=""/>
        <w:lvlJc w:val="left"/>
        <w:pPr>
          <w:tabs>
            <w:tab w:val="num" w:pos="1440"/>
          </w:tabs>
          <w:ind w:left="1920" w:hanging="480"/>
        </w:pPr>
        <w:rPr>
          <w:rFonts w:ascii="Symbol" w:hAnsi="Symbol" w:cs="Symbol" w:hint="default"/>
        </w:rPr>
      </w:lvl>
    </w:lvlOverride>
    <w:lvlOverride w:ilvl="3">
      <w:lvl w:ilvl="3">
        <w:start w:val="0"/>
        <w:numFmt w:val="bullet"/>
        <w:lvlText w:val=""/>
        <w:lvlJc w:val="left"/>
        <w:pPr>
          <w:tabs>
            <w:tab w:val="num" w:pos="2160"/>
          </w:tabs>
          <w:ind w:left="2640" w:hanging="480"/>
        </w:pPr>
        <w:rPr>
          <w:rFonts w:ascii="Symbol" w:hAnsi="Symbol" w:cs="Symbol" w:hint="default"/>
        </w:rPr>
      </w:lvl>
    </w:lvlOverride>
    <w:lvlOverride w:ilvl="4">
      <w:lvl w:ilvl="4">
        <w:start w:val="0"/>
        <w:numFmt w:val="bullet"/>
        <w:lvlText w:val=""/>
        <w:lvlJc w:val="left"/>
        <w:pPr>
          <w:tabs>
            <w:tab w:val="num" w:pos="2880"/>
          </w:tabs>
          <w:ind w:left="3360" w:hanging="480"/>
        </w:pPr>
        <w:rPr>
          <w:rFonts w:ascii="Symbol" w:hAnsi="Symbol" w:cs="Symbol" w:hint="default"/>
        </w:rPr>
      </w:lvl>
    </w:lvlOverride>
    <w:lvlOverride w:ilvl="5">
      <w:lvl w:ilvl="5">
        <w:start w:val="0"/>
        <w:numFmt w:val="bullet"/>
        <w:lvlText w:val=""/>
        <w:lvlJc w:val="left"/>
        <w:pPr>
          <w:tabs>
            <w:tab w:val="num" w:pos="3600"/>
          </w:tabs>
          <w:ind w:left="4080" w:hanging="480"/>
        </w:pPr>
        <w:rPr>
          <w:rFonts w:ascii="Symbol" w:hAnsi="Symbol" w:cs="Symbol" w:hint="default"/>
        </w:rPr>
      </w:lvl>
    </w:lvlOverride>
    <w:lvlOverride w:ilvl="6">
      <w:lvl w:ilvl="6">
        <w:start w:val="0"/>
        <w:numFmt w:val="bullet"/>
        <w:lvlText w:val=""/>
        <w:lvlJc w:val="left"/>
        <w:pPr>
          <w:tabs>
            <w:tab w:val="num" w:pos="4320"/>
          </w:tabs>
          <w:ind w:left="4800" w:hanging="480"/>
        </w:pPr>
        <w:rPr>
          <w:rFonts w:ascii="Symbol" w:hAnsi="Symbol" w:cs="Symbol" w:hint="default"/>
        </w:rPr>
      </w:lvl>
    </w:lvlOverride>
    <w:lvlOverride w:ilvl="7">
      <w:lvl w:ilvl="7">
        <w:start w:val="0"/>
        <w:numFmt w:val="bullet"/>
        <w:lvlText w:val=""/>
        <w:lvlJc w:val="left"/>
        <w:pPr>
          <w:tabs>
            <w:tab w:val="num" w:pos="5040"/>
          </w:tabs>
          <w:ind w:left="5520" w:hanging="480"/>
        </w:pPr>
        <w:rPr>
          <w:rFonts w:ascii="Symbol" w:hAnsi="Symbol" w:cs="Symbol" w:hint="default"/>
        </w:rPr>
      </w:lvl>
    </w:lvlOverride>
    <w:lvlOverride w:ilvl="8">
      <w:lvl w:ilvl="8">
        <w:start w:val="0"/>
        <w:numFmt w:val="bullet"/>
        <w:lvlText w:val=""/>
        <w:lvlJc w:val="left"/>
        <w:pPr>
          <w:tabs>
            <w:tab w:val="num" w:pos="5760"/>
          </w:tabs>
          <w:ind w:left="6240" w:hanging="480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w="http://schemas.openxmlformats.org/wordprocessingml/2006/main">
  <w:zoom w:percent="90"/>
  <w:embedSystemFonts/>
  <w:defaultTabStop w:val="720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76"/>
  <w:style w:type="paragraph" w:styleId="Normal" w:default="1">
    <w:name w:val="Normal"/>
    <w:qFormat/>
    <w:pPr>
      <w:widowControl/>
      <w:bidi w:val="0"/>
      <w:spacing w:before="0" w:after="200"/>
      <w:jc w:val="left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TextBody"/>
    <w:uiPriority w:val="9"/>
    <w:qFormat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TextBody"/>
    <w:uiPriority w:val="9"/>
    <w:unhideWhenUsed/>
    <w:qFormat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TextBody"/>
    <w:uiPriority w:val="9"/>
    <w:unhideWhenUsed/>
    <w:qFormat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TextBody"/>
    <w:uiPriority w:val="9"/>
    <w:unhideWhenUsed/>
    <w:qFormat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TextBody"/>
    <w:uiPriority w:val="9"/>
    <w:unhideWhenUsed/>
    <w:qFormat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TextBody"/>
    <w:uiPriority w:val="9"/>
    <w:unhideWhenUsed/>
    <w:qFormat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7">
    <w:name w:val="Heading 7"/>
    <w:basedOn w:val="Normal"/>
    <w:next w:val="TextBody"/>
    <w:uiPriority w:val="9"/>
    <w:unhideWhenUsed/>
    <w:qFormat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8">
    <w:name w:val="Heading 8"/>
    <w:basedOn w:val="Normal"/>
    <w:next w:val="TextBody"/>
    <w:uiPriority w:val="9"/>
    <w:unhideWhenUsed/>
    <w:qFormat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9">
    <w:name w:val="Heading 9"/>
    <w:basedOn w:val="Normal"/>
    <w:next w:val="TextBody"/>
    <w:uiPriority w:val="9"/>
    <w:unhideWhenUsed/>
    <w:qFormat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character" w:styleId="DefaultParagraphFont" w:default="1">
    <w:name w:val="Default Paragraph Font"/>
    <w:semiHidden/>
    <w:unhideWhenUsed/>
    <w:qFormat/>
    <w:rPr/>
  </w:style>
  <w:style w:type="character" w:styleId="BodyTextChar" w:customStyle="1">
    <w:name w:val="Body Text Char"/>
    <w:basedOn w:val="DefaultParagraphFont"/>
    <w:qFormat/>
    <w:rPr/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FootnoteCharacters">
    <w:name w:val="Footnote Characters"/>
    <w:basedOn w:val="BodyTextChar"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InternetLink">
    <w:name w:val="Hyperlink"/>
    <w:basedOn w:val="BodyTextChar"/>
    <w:rPr>
      <w:color w:val="4F81BD" w:themeColor="accent1"/>
    </w:rPr>
  </w:style>
  <w:style w:type="character" w:styleId="KeywordTok" w:customStyle="1">
    <w:name w:val="KeywordTok"/>
    <w:basedOn w:val="VerbatimChar"/>
    <w:qFormat/>
    <w:rPr>
      <w:b/>
      <w:color w:val="007020"/>
    </w:rPr>
  </w:style>
  <w:style w:type="character" w:styleId="DataTypeTok" w:customStyle="1">
    <w:name w:val="DataTypeTok"/>
    <w:basedOn w:val="VerbatimChar"/>
    <w:qFormat/>
    <w:rPr>
      <w:color w:val="902000"/>
    </w:rPr>
  </w:style>
  <w:style w:type="character" w:styleId="DecValTok" w:customStyle="1">
    <w:name w:val="DecValTok"/>
    <w:basedOn w:val="VerbatimChar"/>
    <w:qFormat/>
    <w:rPr>
      <w:color w:val="40A070"/>
    </w:rPr>
  </w:style>
  <w:style w:type="character" w:styleId="BaseNTok" w:customStyle="1">
    <w:name w:val="BaseNTok"/>
    <w:basedOn w:val="VerbatimChar"/>
    <w:qFormat/>
    <w:rPr>
      <w:color w:val="40A070"/>
    </w:rPr>
  </w:style>
  <w:style w:type="character" w:styleId="FloatTok" w:customStyle="1">
    <w:name w:val="FloatTok"/>
    <w:basedOn w:val="VerbatimChar"/>
    <w:qFormat/>
    <w:rPr>
      <w:color w:val="40A070"/>
    </w:rPr>
  </w:style>
  <w:style w:type="character" w:styleId="ConstantTok" w:customStyle="1">
    <w:name w:val="ConstantTok"/>
    <w:basedOn w:val="VerbatimChar"/>
    <w:qFormat/>
    <w:rPr>
      <w:color w:val="880000"/>
    </w:rPr>
  </w:style>
  <w:style w:type="character" w:styleId="CharTok" w:customStyle="1">
    <w:name w:val="CharTok"/>
    <w:basedOn w:val="VerbatimChar"/>
    <w:qFormat/>
    <w:rPr>
      <w:color w:val="4070A0"/>
    </w:rPr>
  </w:style>
  <w:style w:type="character" w:styleId="SpecialCharTok" w:customStyle="1">
    <w:name w:val="SpecialCharTok"/>
    <w:basedOn w:val="VerbatimChar"/>
    <w:qFormat/>
    <w:rPr>
      <w:color w:val="4070A0"/>
    </w:rPr>
  </w:style>
  <w:style w:type="character" w:styleId="StringTok" w:customStyle="1">
    <w:name w:val="StringTok"/>
    <w:basedOn w:val="VerbatimChar"/>
    <w:qFormat/>
    <w:rPr>
      <w:color w:val="4070A0"/>
    </w:rPr>
  </w:style>
  <w:style w:type="character" w:styleId="VerbatimStringTok" w:customStyle="1">
    <w:name w:val="VerbatimStringTok"/>
    <w:basedOn w:val="VerbatimChar"/>
    <w:qFormat/>
    <w:rPr>
      <w:color w:val="4070A0"/>
    </w:rPr>
  </w:style>
  <w:style w:type="character" w:styleId="SpecialStringTok" w:customStyle="1">
    <w:name w:val="SpecialStringTok"/>
    <w:basedOn w:val="VerbatimChar"/>
    <w:qFormat/>
    <w:rPr>
      <w:color w:val="BB6688"/>
    </w:rPr>
  </w:style>
  <w:style w:type="character" w:styleId="ImportTok" w:customStyle="1">
    <w:name w:val="ImportTok"/>
    <w:basedOn w:val="VerbatimChar"/>
    <w:qFormat/>
    <w:rPr/>
  </w:style>
  <w:style w:type="character" w:styleId="CommentTok" w:customStyle="1">
    <w:name w:val="CommentTok"/>
    <w:basedOn w:val="VerbatimChar"/>
    <w:qFormat/>
    <w:rPr>
      <w:i/>
      <w:color w:val="60A0B0"/>
    </w:rPr>
  </w:style>
  <w:style w:type="character" w:styleId="DocumentationTok" w:customStyle="1">
    <w:name w:val="DocumentationTok"/>
    <w:basedOn w:val="VerbatimChar"/>
    <w:qFormat/>
    <w:rPr>
      <w:i/>
      <w:color w:val="BA2121"/>
    </w:rPr>
  </w:style>
  <w:style w:type="character" w:styleId="AnnotationTok" w:customStyle="1">
    <w:name w:val="AnnotationTok"/>
    <w:basedOn w:val="VerbatimChar"/>
    <w:qFormat/>
    <w:rPr>
      <w:b/>
      <w:i/>
      <w:color w:val="60A0B0"/>
    </w:rPr>
  </w:style>
  <w:style w:type="character" w:styleId="CommentVarTok" w:customStyle="1">
    <w:name w:val="CommentVarTok"/>
    <w:basedOn w:val="VerbatimChar"/>
    <w:qFormat/>
    <w:rPr>
      <w:b/>
      <w:i/>
      <w:color w:val="60A0B0"/>
    </w:rPr>
  </w:style>
  <w:style w:type="character" w:styleId="OtherTok" w:customStyle="1">
    <w:name w:val="OtherTok"/>
    <w:basedOn w:val="VerbatimChar"/>
    <w:qFormat/>
    <w:rPr>
      <w:color w:val="007020"/>
    </w:rPr>
  </w:style>
  <w:style w:type="character" w:styleId="FunctionTok" w:customStyle="1">
    <w:name w:val="FunctionTok"/>
    <w:basedOn w:val="VerbatimChar"/>
    <w:qFormat/>
    <w:rPr>
      <w:color w:val="06287E"/>
    </w:rPr>
  </w:style>
  <w:style w:type="character" w:styleId="VariableTok" w:customStyle="1">
    <w:name w:val="VariableTok"/>
    <w:basedOn w:val="VerbatimChar"/>
    <w:qFormat/>
    <w:rPr>
      <w:color w:val="19177C"/>
    </w:rPr>
  </w:style>
  <w:style w:type="character" w:styleId="ControlFlowTok" w:customStyle="1">
    <w:name w:val="ControlFlowTok"/>
    <w:basedOn w:val="VerbatimChar"/>
    <w:qFormat/>
    <w:rPr>
      <w:b/>
      <w:color w:val="007020"/>
    </w:rPr>
  </w:style>
  <w:style w:type="character" w:styleId="OperatorTok" w:customStyle="1">
    <w:name w:val="OperatorTok"/>
    <w:basedOn w:val="VerbatimChar"/>
    <w:qFormat/>
    <w:rPr>
      <w:color w:val="666666"/>
    </w:rPr>
  </w:style>
  <w:style w:type="character" w:styleId="BuiltInTok" w:customStyle="1">
    <w:name w:val="BuiltInTok"/>
    <w:basedOn w:val="VerbatimChar"/>
    <w:qFormat/>
    <w:rPr/>
  </w:style>
  <w:style w:type="character" w:styleId="ExtensionTok" w:customStyle="1">
    <w:name w:val="ExtensionTok"/>
    <w:basedOn w:val="VerbatimChar"/>
    <w:qFormat/>
    <w:rPr/>
  </w:style>
  <w:style w:type="character" w:styleId="PreprocessorTok" w:customStyle="1">
    <w:name w:val="PreprocessorTok"/>
    <w:basedOn w:val="VerbatimChar"/>
    <w:qFormat/>
    <w:rPr>
      <w:color w:val="BC7A00"/>
    </w:rPr>
  </w:style>
  <w:style w:type="character" w:styleId="AttributeTok" w:customStyle="1">
    <w:name w:val="AttributeTok"/>
    <w:basedOn w:val="VerbatimChar"/>
    <w:qFormat/>
    <w:rPr>
      <w:color w:val="7D9029"/>
    </w:rPr>
  </w:style>
  <w:style w:type="character" w:styleId="RegionMarkerTok" w:customStyle="1">
    <w:name w:val="RegionMarkerTok"/>
    <w:basedOn w:val="VerbatimChar"/>
    <w:qFormat/>
    <w:rPr/>
  </w:style>
  <w:style w:type="character" w:styleId="InformationTok" w:customStyle="1">
    <w:name w:val="InformationTok"/>
    <w:basedOn w:val="VerbatimChar"/>
    <w:qFormat/>
    <w:rPr>
      <w:b/>
      <w:i/>
      <w:color w:val="60A0B0"/>
    </w:rPr>
  </w:style>
  <w:style w:type="character" w:styleId="WarningTok" w:customStyle="1">
    <w:name w:val="WarningTok"/>
    <w:basedOn w:val="VerbatimChar"/>
    <w:qFormat/>
    <w:rPr>
      <w:b/>
      <w:i/>
      <w:color w:val="60A0B0"/>
    </w:rPr>
  </w:style>
  <w:style w:type="character" w:styleId="AlertTok" w:customStyle="1">
    <w:name w:val="AlertTok"/>
    <w:basedOn w:val="VerbatimChar"/>
    <w:qFormat/>
    <w:rPr>
      <w:b/>
      <w:color w:val="FF0000"/>
    </w:rPr>
  </w:style>
  <w:style w:type="character" w:styleId="ErrorTok" w:customStyle="1">
    <w:name w:val="ErrorTok"/>
    <w:basedOn w:val="VerbatimChar"/>
    <w:qFormat/>
    <w:rPr>
      <w:b/>
      <w:color w:val="FF0000"/>
    </w:rPr>
  </w:style>
  <w:style w:type="character" w:styleId="NormalTok" w:customStyle="1">
    <w:name w:val="NormalTok"/>
    <w:basedOn w:val="VerbatimChar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qFormat/>
    <w:pPr>
      <w:spacing w:before="180" w:after="18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link w:val="BodyTextChar"/>
    <w:qFormat/>
    <w:pPr>
      <w:spacing w:before="0" w:after="120"/>
    </w:pPr>
    <w:rPr>
      <w:i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FirstParagraph" w:customStyle="1">
    <w:name w:val="First Paragraph"/>
    <w:basedOn w:val="TextBody"/>
    <w:next w:val="TextBody"/>
    <w:qFormat/>
    <w:pPr/>
    <w:rPr/>
  </w:style>
  <w:style w:type="paragraph" w:styleId="Compact" w:customStyle="1">
    <w:name w:val="Compact"/>
    <w:basedOn w:val="TextBody"/>
    <w:qFormat/>
    <w:pPr>
      <w:spacing w:before="36" w:after="36"/>
    </w:pPr>
    <w:rPr/>
  </w:style>
  <w:style w:type="paragraph" w:styleId="Title">
    <w:name w:val="Title"/>
    <w:basedOn w:val="Normal"/>
    <w:next w:val="TextBody"/>
    <w:qFormat/>
    <w:pPr>
      <w:keepNext w:val="true"/>
      <w:keepLines/>
      <w:spacing w:before="480" w:after="240"/>
      <w:jc w:val="center"/>
    </w:pPr>
    <w:rPr>
      <w:rFonts w:ascii="Calibri" w:hAnsi="Calibri" w:eastAsia="" w:cs="" w:asciiTheme="majorHAnsi" w:cstheme="majorBidi" w:eastAsiaTheme="majorEastAsia" w:hAnsiTheme="majorHAns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TextBody"/>
    <w:qFormat/>
    <w:pPr>
      <w:keepNext w:val="true"/>
      <w:keepLines/>
      <w:spacing w:before="240" w:after="240"/>
      <w:jc w:val="center"/>
    </w:pPr>
    <w:rPr>
      <w:sz w:val="30"/>
      <w:szCs w:val="30"/>
    </w:rPr>
  </w:style>
  <w:style w:type="paragraph" w:styleId="Author" w:customStyle="1">
    <w:name w:val="Author"/>
    <w:next w:val="TextBody"/>
    <w:qFormat/>
    <w:pPr>
      <w:keepNext w:val="true"/>
      <w:keepLines/>
      <w:widowControl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Date">
    <w:name w:val="Date"/>
    <w:next w:val="TextBody"/>
    <w:qFormat/>
    <w:pPr>
      <w:keepNext w:val="true"/>
      <w:keepLines/>
      <w:widowControl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Abstract" w:customStyle="1">
    <w:name w:val="Abstract"/>
    <w:basedOn w:val="Normal"/>
    <w:next w:val="TextBody"/>
    <w:qFormat/>
    <w:pPr>
      <w:keepNext w:val="true"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TextBody"/>
    <w:next w:val="TextBody"/>
    <w:uiPriority w:val="9"/>
    <w:unhideWhenUsed/>
    <w:qFormat/>
    <w:pPr>
      <w:spacing w:before="100" w:after="100"/>
      <w:ind w:hanging="0"/>
    </w:pPr>
    <w:rPr>
      <w:rFonts w:ascii="Calibri" w:hAnsi="Calibri" w:eastAsia="" w:cs="" w:asciiTheme="majorHAnsi" w:cstheme="majorBidi" w:eastAsiaTheme="majorEastAsia" w:hAnsiTheme="majorHAnsi"/>
      <w:bCs/>
      <w:sz w:val="20"/>
      <w:szCs w:val="20"/>
    </w:rPr>
  </w:style>
  <w:style w:type="paragraph" w:styleId="Footnote">
    <w:name w:val="Footnote Text"/>
    <w:basedOn w:val="Normal"/>
    <w:uiPriority w:val="9"/>
    <w:unhideWhenUsed/>
    <w:qFormat/>
    <w:pPr/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Caption"/>
    <w:qFormat/>
    <w:pPr>
      <w:keepNext w:val="true"/>
    </w:pPr>
    <w:rPr/>
  </w:style>
  <w:style w:type="paragraph" w:styleId="ImageCaption" w:customStyle="1">
    <w:name w:val="Image Caption"/>
    <w:basedOn w:val="Caption"/>
    <w:qFormat/>
    <w:pPr/>
    <w:rPr/>
  </w:style>
  <w:style w:type="paragraph" w:styleId="Figure" w:customStyle="1">
    <w:name w:val="Figure"/>
    <w:basedOn w:val="Normal"/>
    <w:qFormat/>
    <w:pPr/>
    <w:rPr/>
  </w:style>
  <w:style w:type="paragraph" w:styleId="CaptionedFigure" w:customStyle="1">
    <w:name w:val="Captioned Figure"/>
    <w:basedOn w:val="Figure"/>
    <w:qFormat/>
    <w:pPr>
      <w:keepNext w:val="true"/>
    </w:pPr>
    <w:rPr/>
  </w:style>
  <w:style w:type="paragraph" w:styleId="IndexHeading">
    <w:name w:val="Index Heading"/>
    <w:basedOn w:val="Heading"/>
    <w:pPr/>
    <w:rPr/>
  </w:style>
  <w:style w:type="paragraph" w:styleId="ContentsHeading">
    <w:name w:val="TOC Heading"/>
    <w:basedOn w:val="Heading1"/>
    <w:next w:val="TextBody"/>
    <w:uiPriority w:val="39"/>
    <w:unhideWhenUsed/>
    <w:qFormat/>
    <w:pPr>
      <w:spacing w:lineRule="auto" w:line="259" w:before="240" w:after="0"/>
      <w:outlineLvl w:val="9"/>
    </w:pPr>
    <w:rPr>
      <w:rFonts w:ascii="Calibri" w:hAnsi="Calibri" w:eastAsia="" w:cs="" w:asciiTheme="majorHAnsi" w:cstheme="majorBidi" w:eastAsiaTheme="majorEastAsia" w:hAnsiTheme="majorHAnsi"/>
      <w:b w:val="false"/>
      <w:bCs w:val="false"/>
      <w:color w:val="365F91" w:themeColor="accent1" w:themeShade="bf"/>
    </w:rPr>
  </w:style>
  <w:style w:type="paragraph" w:styleId="SourceCode" w:customStyle="1">
    <w:name w:val="Source Code"/>
    <w:basedOn w:val="Normal"/>
    <w:link w:val="VerbatimChar"/>
    <w:qFormat/>
    <w:pPr/>
    <w:rPr/>
  </w:style>
  <w:style w:type="table" w:default="1" w:styleId="Table">
    <w:name w:val="Table"/>
    <w:basedOn w:val="TableNormal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do-g.de/fileadmin/DO-G_Positionspapier_Agrarvoegel_21.10.2019_n.pdf" TargetMode="External"/><Relationship Id="rId3" Type="http://schemas.openxmlformats.org/officeDocument/2006/relationships/hyperlink" Target="" TargetMode="External"/><Relationship Id="rId4" Type="http://schemas.openxmlformats.org/officeDocument/2006/relationships/hyperlink" Target="https://doi.org/10.1017/S0959270919000480" TargetMode="External"/><Relationship Id="rId5" Type="http://schemas.openxmlformats.org/officeDocument/2006/relationships/hyperlink" Target="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LibreOffice/7.3.0.3$Linux_X86_64 LibreOffice_project/30$Build-3</Application>
  <AppVersion>15.0000</AppVersion>
  <Pages>3</Pages>
  <Words>431</Words>
  <Characters>2862</Characters>
  <CharactersWithSpaces>3133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2022-02-15T14:49:40Z</dcterms:created>
  <dc:creator/>
  <dc:description/>
  <dc:language>en-GB</dc:language>
  <cp:lastModifiedBy>Daniel Vedder</cp:lastModifiedBy>
  <dcterms:modified xsi:type="dcterms:W3CDTF">2022-02-15T15:55:44Z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